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C6" w:rsidRPr="00212DF4" w:rsidRDefault="00B77AC6" w:rsidP="00B77AC6">
      <w:pPr>
        <w:pStyle w:val="a7"/>
        <w:spacing w:before="240" w:after="240"/>
        <w:jc w:val="center"/>
        <w:rPr>
          <w:rFonts w:ascii="Arial" w:hAnsi="Arial" w:cs="Arial"/>
          <w:b/>
          <w:caps/>
          <w:sz w:val="28"/>
        </w:rPr>
      </w:pPr>
      <w:r w:rsidRPr="00212DF4">
        <w:rPr>
          <w:rFonts w:ascii="Arial" w:hAnsi="Arial" w:cs="Arial"/>
          <w:b/>
          <w:caps/>
          <w:sz w:val="28"/>
        </w:rPr>
        <w:t xml:space="preserve"> Инвестиции в нефинансовые активы</w:t>
      </w:r>
    </w:p>
    <w:p w:rsidR="00B77AC6" w:rsidRPr="00212DF4" w:rsidRDefault="00B77AC6" w:rsidP="00B77AC6">
      <w:pPr>
        <w:ind w:firstLine="720"/>
        <w:jc w:val="both"/>
      </w:pPr>
      <w:r w:rsidRPr="00212DF4">
        <w:rPr>
          <w:b/>
        </w:rPr>
        <w:t>Инвестиции в нефинансовые активы</w:t>
      </w:r>
      <w:r>
        <w:t>.</w:t>
      </w:r>
      <w:r w:rsidRPr="00212DF4">
        <w:rPr>
          <w:b/>
        </w:rPr>
        <w:t xml:space="preserve"> </w:t>
      </w:r>
      <w:r w:rsidRPr="00212DF4">
        <w:t>В январе-</w:t>
      </w:r>
      <w:r w:rsidR="00512F8E">
        <w:t>декабре</w:t>
      </w:r>
      <w:r w:rsidRPr="00212DF4">
        <w:t xml:space="preserve"> 20</w:t>
      </w:r>
      <w:r w:rsidR="00C41D1C">
        <w:t>2</w:t>
      </w:r>
      <w:r w:rsidR="007F560B">
        <w:t>2</w:t>
      </w:r>
      <w:r w:rsidR="0037455E">
        <w:t xml:space="preserve"> </w:t>
      </w:r>
      <w:r w:rsidRPr="00212DF4">
        <w:t>г</w:t>
      </w:r>
      <w:r>
        <w:t>.</w:t>
      </w:r>
      <w:r w:rsidRPr="00212DF4">
        <w:t xml:space="preserve"> инвестиции в нефинансовые активы (без субъектов малого предпринимательства и объема инвестиций, не наблюдаемых прямыми статистическими методами) составили </w:t>
      </w:r>
      <w:r w:rsidR="00512F8E">
        <w:t>48522,2</w:t>
      </w:r>
      <w:r w:rsidRPr="00212DF4">
        <w:t xml:space="preserve"> млн</w:t>
      </w:r>
      <w:r>
        <w:t>.</w:t>
      </w:r>
      <w:r w:rsidR="00917CCF">
        <w:t xml:space="preserve"> </w:t>
      </w:r>
      <w:r w:rsidRPr="00212DF4">
        <w:t xml:space="preserve">рублей, из них </w:t>
      </w:r>
      <w:r w:rsidR="00512F8E">
        <w:t>47918,5</w:t>
      </w:r>
      <w:r w:rsidRPr="00212DF4">
        <w:t xml:space="preserve"> млн</w:t>
      </w:r>
      <w:r>
        <w:t>.</w:t>
      </w:r>
      <w:r w:rsidR="00713A68">
        <w:t xml:space="preserve"> </w:t>
      </w:r>
      <w:r w:rsidRPr="00212DF4">
        <w:t>рублей приходилось на инвестиции в основной капитал</w:t>
      </w:r>
      <w:r>
        <w:t>.</w:t>
      </w:r>
    </w:p>
    <w:p w:rsidR="00B77AC6" w:rsidRDefault="00B77AC6" w:rsidP="00B77AC6">
      <w:pPr>
        <w:pStyle w:val="12"/>
        <w:spacing w:before="120"/>
        <w:ind w:firstLine="709"/>
        <w:jc w:val="both"/>
      </w:pPr>
    </w:p>
    <w:tbl>
      <w:tblPr>
        <w:tblW w:w="0" w:type="auto"/>
        <w:tblInd w:w="1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3"/>
        <w:gridCol w:w="1346"/>
        <w:gridCol w:w="1489"/>
        <w:gridCol w:w="1984"/>
      </w:tblGrid>
      <w:tr w:rsidR="00401858" w:rsidTr="007C448B">
        <w:trPr>
          <w:cantSplit/>
          <w:tblHeader/>
        </w:trPr>
        <w:tc>
          <w:tcPr>
            <w:tcW w:w="4253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01858" w:rsidRPr="007821D7" w:rsidRDefault="00401858" w:rsidP="007C448B">
            <w:pPr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01858" w:rsidRPr="00FC644A" w:rsidRDefault="00401858" w:rsidP="00512F8E">
            <w:pPr>
              <w:ind w:left="284" w:right="35" w:hanging="249"/>
              <w:contextualSpacing/>
              <w:jc w:val="center"/>
              <w:rPr>
                <w:bCs/>
                <w:i/>
                <w:sz w:val="16"/>
                <w:szCs w:val="16"/>
              </w:rPr>
            </w:pPr>
            <w:r w:rsidRPr="000C2EF0">
              <w:rPr>
                <w:i/>
                <w:sz w:val="16"/>
                <w:szCs w:val="16"/>
              </w:rPr>
              <w:t>Январь-</w:t>
            </w:r>
            <w:r w:rsidR="00512F8E">
              <w:rPr>
                <w:i/>
                <w:sz w:val="16"/>
                <w:szCs w:val="16"/>
              </w:rPr>
              <w:t>декабрь</w:t>
            </w:r>
            <w:r w:rsidRPr="000C2EF0">
              <w:rPr>
                <w:i/>
                <w:sz w:val="16"/>
                <w:szCs w:val="16"/>
              </w:rPr>
              <w:t xml:space="preserve">  202</w:t>
            </w:r>
            <w:r w:rsidR="007F560B">
              <w:rPr>
                <w:i/>
                <w:sz w:val="16"/>
                <w:szCs w:val="16"/>
              </w:rPr>
              <w:t>2</w:t>
            </w:r>
            <w:r w:rsidRPr="000C2EF0">
              <w:rPr>
                <w:i/>
                <w:sz w:val="16"/>
                <w:szCs w:val="16"/>
              </w:rPr>
              <w:t xml:space="preserve"> г.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01858" w:rsidRPr="007821D7" w:rsidRDefault="00401858" w:rsidP="007C448B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7821D7">
              <w:rPr>
                <w:i/>
                <w:sz w:val="16"/>
                <w:szCs w:val="16"/>
                <w:u w:val="single"/>
              </w:rPr>
              <w:t>Справочно</w:t>
            </w:r>
            <w:proofErr w:type="spellEnd"/>
          </w:p>
          <w:p w:rsidR="00401858" w:rsidRPr="007821D7" w:rsidRDefault="00401858" w:rsidP="00512F8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202</w:t>
            </w:r>
            <w:r w:rsidR="007F560B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7821D7">
              <w:rPr>
                <w:i/>
                <w:sz w:val="16"/>
                <w:szCs w:val="16"/>
              </w:rPr>
              <w:t>г.</w:t>
            </w:r>
            <w:r w:rsidRPr="007821D7">
              <w:rPr>
                <w:i/>
                <w:sz w:val="16"/>
                <w:szCs w:val="16"/>
              </w:rPr>
              <w:br/>
              <w:t xml:space="preserve"> </w:t>
            </w:r>
            <w:proofErr w:type="gramStart"/>
            <w:r w:rsidRPr="007821D7">
              <w:rPr>
                <w:i/>
                <w:sz w:val="16"/>
                <w:szCs w:val="16"/>
              </w:rPr>
              <w:t>в</w:t>
            </w:r>
            <w:proofErr w:type="gramEnd"/>
            <w:r w:rsidRPr="007821D7">
              <w:rPr>
                <w:i/>
                <w:sz w:val="16"/>
                <w:szCs w:val="16"/>
              </w:rPr>
              <w:t xml:space="preserve"> % к итогу</w:t>
            </w:r>
          </w:p>
        </w:tc>
      </w:tr>
      <w:tr w:rsidR="00401858" w:rsidTr="007C448B">
        <w:trPr>
          <w:cantSplit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01858" w:rsidRPr="007821D7" w:rsidRDefault="00401858" w:rsidP="007C448B">
            <w:pPr>
              <w:rPr>
                <w:i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double" w:sz="4" w:space="0" w:color="auto"/>
            </w:tcBorders>
          </w:tcPr>
          <w:p w:rsidR="00401858" w:rsidRPr="007821D7" w:rsidRDefault="00401858" w:rsidP="007C448B">
            <w:pPr>
              <w:jc w:val="center"/>
              <w:rPr>
                <w:i/>
                <w:sz w:val="16"/>
                <w:szCs w:val="16"/>
              </w:rPr>
            </w:pPr>
            <w:r w:rsidRPr="007821D7">
              <w:rPr>
                <w:i/>
                <w:sz w:val="16"/>
                <w:szCs w:val="16"/>
              </w:rPr>
              <w:t>тыс.</w:t>
            </w:r>
            <w:r w:rsidRPr="007821D7">
              <w:rPr>
                <w:i/>
                <w:sz w:val="16"/>
                <w:szCs w:val="16"/>
              </w:rPr>
              <w:br/>
              <w:t>рублей</w:t>
            </w:r>
          </w:p>
        </w:tc>
        <w:tc>
          <w:tcPr>
            <w:tcW w:w="1489" w:type="dxa"/>
            <w:tcBorders>
              <w:top w:val="single" w:sz="4" w:space="0" w:color="auto"/>
              <w:bottom w:val="double" w:sz="4" w:space="0" w:color="auto"/>
            </w:tcBorders>
          </w:tcPr>
          <w:p w:rsidR="00401858" w:rsidRPr="007821D7" w:rsidRDefault="00401858" w:rsidP="007C448B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 w:rsidRPr="007821D7">
              <w:rPr>
                <w:i/>
                <w:sz w:val="16"/>
                <w:szCs w:val="16"/>
              </w:rPr>
              <w:t>в</w:t>
            </w:r>
            <w:proofErr w:type="gramEnd"/>
            <w:r w:rsidRPr="007821D7">
              <w:rPr>
                <w:i/>
                <w:sz w:val="16"/>
                <w:szCs w:val="16"/>
              </w:rPr>
              <w:t xml:space="preserve"> % к </w:t>
            </w:r>
            <w:r w:rsidRPr="007821D7">
              <w:rPr>
                <w:i/>
                <w:sz w:val="16"/>
                <w:szCs w:val="16"/>
              </w:rPr>
              <w:br/>
              <w:t>итогу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01858" w:rsidRPr="007821D7" w:rsidRDefault="00401858" w:rsidP="007C448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01858" w:rsidTr="007C448B">
        <w:tc>
          <w:tcPr>
            <w:tcW w:w="4253" w:type="dxa"/>
            <w:tcBorders>
              <w:top w:val="double" w:sz="4" w:space="0" w:color="auto"/>
            </w:tcBorders>
            <w:vAlign w:val="bottom"/>
          </w:tcPr>
          <w:p w:rsidR="00401858" w:rsidRPr="007821D7" w:rsidRDefault="00401858" w:rsidP="007C448B">
            <w:pPr>
              <w:rPr>
                <w:b/>
                <w:sz w:val="16"/>
                <w:szCs w:val="16"/>
              </w:rPr>
            </w:pPr>
            <w:r w:rsidRPr="007821D7">
              <w:rPr>
                <w:b/>
                <w:sz w:val="16"/>
                <w:szCs w:val="16"/>
              </w:rPr>
              <w:t>Инвестиции в нефинансовые активы</w:t>
            </w:r>
          </w:p>
        </w:tc>
        <w:tc>
          <w:tcPr>
            <w:tcW w:w="1346" w:type="dxa"/>
            <w:tcBorders>
              <w:top w:val="double" w:sz="4" w:space="0" w:color="auto"/>
            </w:tcBorders>
            <w:vAlign w:val="bottom"/>
          </w:tcPr>
          <w:p w:rsidR="00401858" w:rsidRPr="00D03FAA" w:rsidRDefault="00512F8E" w:rsidP="007C448B">
            <w:pPr>
              <w:ind w:right="28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48522211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vAlign w:val="bottom"/>
          </w:tcPr>
          <w:p w:rsidR="00401858" w:rsidRPr="00927D59" w:rsidRDefault="00401858" w:rsidP="007C448B">
            <w:pPr>
              <w:ind w:right="397"/>
              <w:jc w:val="right"/>
              <w:rPr>
                <w:b/>
                <w:sz w:val="16"/>
                <w:szCs w:val="16"/>
              </w:rPr>
            </w:pPr>
            <w:r w:rsidRPr="00927D5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bottom"/>
          </w:tcPr>
          <w:p w:rsidR="00401858" w:rsidRPr="00927D59" w:rsidRDefault="00401858" w:rsidP="007C448B">
            <w:pPr>
              <w:ind w:right="397"/>
              <w:jc w:val="right"/>
              <w:rPr>
                <w:b/>
                <w:sz w:val="16"/>
                <w:szCs w:val="16"/>
              </w:rPr>
            </w:pPr>
            <w:r w:rsidRPr="00927D59">
              <w:rPr>
                <w:b/>
                <w:sz w:val="16"/>
                <w:szCs w:val="16"/>
              </w:rPr>
              <w:t>100</w:t>
            </w:r>
          </w:p>
        </w:tc>
      </w:tr>
      <w:tr w:rsidR="00401858" w:rsidTr="007C448B">
        <w:tc>
          <w:tcPr>
            <w:tcW w:w="4253" w:type="dxa"/>
            <w:vAlign w:val="bottom"/>
          </w:tcPr>
          <w:p w:rsidR="00401858" w:rsidRPr="007821D7" w:rsidRDefault="00401858" w:rsidP="007C448B">
            <w:pPr>
              <w:ind w:right="-249"/>
              <w:rPr>
                <w:sz w:val="16"/>
                <w:szCs w:val="16"/>
              </w:rPr>
            </w:pPr>
            <w:r w:rsidRPr="007821D7">
              <w:rPr>
                <w:sz w:val="16"/>
                <w:szCs w:val="16"/>
              </w:rPr>
              <w:t xml:space="preserve">       в том числе:</w:t>
            </w:r>
          </w:p>
        </w:tc>
        <w:tc>
          <w:tcPr>
            <w:tcW w:w="1346" w:type="dxa"/>
            <w:vAlign w:val="bottom"/>
          </w:tcPr>
          <w:p w:rsidR="00401858" w:rsidRDefault="00401858" w:rsidP="007C448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89" w:type="dxa"/>
            <w:vAlign w:val="bottom"/>
          </w:tcPr>
          <w:p w:rsidR="00401858" w:rsidRPr="00927D59" w:rsidRDefault="00401858" w:rsidP="007C448B">
            <w:pPr>
              <w:ind w:right="397"/>
              <w:jc w:val="right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401858" w:rsidRPr="00927D59" w:rsidRDefault="00401858" w:rsidP="007C448B">
            <w:pPr>
              <w:ind w:right="397"/>
              <w:jc w:val="right"/>
              <w:rPr>
                <w:sz w:val="16"/>
                <w:szCs w:val="16"/>
              </w:rPr>
            </w:pPr>
          </w:p>
        </w:tc>
      </w:tr>
      <w:tr w:rsidR="00401858" w:rsidTr="007C448B">
        <w:tc>
          <w:tcPr>
            <w:tcW w:w="4253" w:type="dxa"/>
            <w:vAlign w:val="bottom"/>
          </w:tcPr>
          <w:p w:rsidR="00401858" w:rsidRPr="007821D7" w:rsidRDefault="00401858" w:rsidP="007C448B">
            <w:pPr>
              <w:ind w:left="170"/>
              <w:rPr>
                <w:sz w:val="16"/>
                <w:szCs w:val="16"/>
              </w:rPr>
            </w:pPr>
            <w:r w:rsidRPr="007821D7">
              <w:rPr>
                <w:sz w:val="16"/>
                <w:szCs w:val="16"/>
              </w:rPr>
              <w:t xml:space="preserve">инвестиции в основной капитал </w:t>
            </w:r>
          </w:p>
        </w:tc>
        <w:tc>
          <w:tcPr>
            <w:tcW w:w="1346" w:type="dxa"/>
            <w:vAlign w:val="bottom"/>
          </w:tcPr>
          <w:p w:rsidR="00401858" w:rsidRPr="005B6D80" w:rsidRDefault="00512F8E" w:rsidP="007C448B">
            <w:pPr>
              <w:ind w:right="28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47918497</w:t>
            </w:r>
          </w:p>
        </w:tc>
        <w:tc>
          <w:tcPr>
            <w:tcW w:w="1489" w:type="dxa"/>
            <w:vAlign w:val="bottom"/>
          </w:tcPr>
          <w:p w:rsidR="00401858" w:rsidRPr="00927D59" w:rsidRDefault="00512F8E" w:rsidP="00F83310">
            <w:pPr>
              <w:ind w:right="39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1984" w:type="dxa"/>
            <w:vAlign w:val="bottom"/>
          </w:tcPr>
          <w:p w:rsidR="00401858" w:rsidRPr="00927D59" w:rsidRDefault="00512F8E" w:rsidP="00F83310">
            <w:pPr>
              <w:ind w:right="39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97,1</w:t>
            </w:r>
          </w:p>
        </w:tc>
      </w:tr>
      <w:tr w:rsidR="00401858" w:rsidTr="007C448B">
        <w:tc>
          <w:tcPr>
            <w:tcW w:w="4253" w:type="dxa"/>
            <w:vAlign w:val="bottom"/>
          </w:tcPr>
          <w:p w:rsidR="00401858" w:rsidRPr="007821D7" w:rsidRDefault="00401858" w:rsidP="007C448B">
            <w:pPr>
              <w:ind w:left="170"/>
              <w:rPr>
                <w:sz w:val="16"/>
                <w:szCs w:val="16"/>
              </w:rPr>
            </w:pPr>
            <w:r w:rsidRPr="007821D7">
              <w:rPr>
                <w:sz w:val="16"/>
                <w:szCs w:val="16"/>
              </w:rPr>
              <w:t>инвестиции в непроизведенные нефинансовые активы</w:t>
            </w:r>
          </w:p>
        </w:tc>
        <w:tc>
          <w:tcPr>
            <w:tcW w:w="1346" w:type="dxa"/>
            <w:vAlign w:val="bottom"/>
          </w:tcPr>
          <w:p w:rsidR="00401858" w:rsidRPr="00AD5F10" w:rsidRDefault="00512F8E" w:rsidP="007C448B">
            <w:pPr>
              <w:ind w:right="28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603714</w:t>
            </w:r>
          </w:p>
        </w:tc>
        <w:tc>
          <w:tcPr>
            <w:tcW w:w="1489" w:type="dxa"/>
            <w:vAlign w:val="bottom"/>
          </w:tcPr>
          <w:p w:rsidR="00401858" w:rsidRPr="00401858" w:rsidRDefault="007F560B" w:rsidP="00512F8E">
            <w:pPr>
              <w:ind w:right="39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1,</w:t>
            </w:r>
            <w:r w:rsidR="00512F8E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bottom"/>
          </w:tcPr>
          <w:p w:rsidR="00401858" w:rsidRPr="00FC6B9B" w:rsidRDefault="00512F8E" w:rsidP="00F83310">
            <w:pPr>
              <w:ind w:right="39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</w:tbl>
    <w:p w:rsidR="00401858" w:rsidRDefault="00401858" w:rsidP="00401858">
      <w:pPr>
        <w:spacing w:before="240"/>
        <w:ind w:firstLine="720"/>
        <w:contextualSpacing/>
        <w:jc w:val="both"/>
        <w:rPr>
          <w:b/>
          <w:sz w:val="22"/>
        </w:rPr>
      </w:pPr>
    </w:p>
    <w:p w:rsidR="00076402" w:rsidRPr="00212DF4" w:rsidRDefault="00076402" w:rsidP="00076402">
      <w:pPr>
        <w:spacing w:before="240"/>
        <w:ind w:firstLine="720"/>
        <w:contextualSpacing/>
        <w:jc w:val="both"/>
      </w:pPr>
      <w:r w:rsidRPr="00212DF4">
        <w:rPr>
          <w:b/>
        </w:rPr>
        <w:t>Инвестиции в основной капитал</w:t>
      </w:r>
      <w:r>
        <w:rPr>
          <w:b/>
        </w:rPr>
        <w:t>.</w:t>
      </w:r>
      <w:r w:rsidRPr="00212DF4">
        <w:t xml:space="preserve"> В январе-</w:t>
      </w:r>
      <w:r w:rsidR="00512F8E">
        <w:t>декабре</w:t>
      </w:r>
      <w:r w:rsidRPr="00212DF4">
        <w:rPr>
          <w:i/>
        </w:rPr>
        <w:t xml:space="preserve"> </w:t>
      </w:r>
      <w:r w:rsidRPr="00212DF4">
        <w:t>20</w:t>
      </w:r>
      <w:r>
        <w:t xml:space="preserve">22 </w:t>
      </w:r>
      <w:r w:rsidRPr="00212DF4">
        <w:t>г</w:t>
      </w:r>
      <w:r>
        <w:t>.</w:t>
      </w:r>
      <w:r w:rsidRPr="00212DF4">
        <w:t xml:space="preserve"> </w:t>
      </w:r>
      <w:r>
        <w:t xml:space="preserve">использовано </w:t>
      </w:r>
      <w:r w:rsidR="00512F8E">
        <w:t>59418,9</w:t>
      </w:r>
      <w:r w:rsidR="00F83310">
        <w:t xml:space="preserve"> </w:t>
      </w:r>
      <w:r w:rsidRPr="00212DF4">
        <w:t>млн</w:t>
      </w:r>
      <w:r>
        <w:t xml:space="preserve">. </w:t>
      </w:r>
      <w:r w:rsidRPr="00212DF4">
        <w:t>рублей инвестици</w:t>
      </w:r>
      <w:r>
        <w:t>й в основной капитал</w:t>
      </w:r>
      <w:r w:rsidRPr="00212DF4">
        <w:t xml:space="preserve">, </w:t>
      </w:r>
      <w:r>
        <w:t xml:space="preserve">или </w:t>
      </w:r>
      <w:r w:rsidR="00512F8E">
        <w:t>99,8</w:t>
      </w:r>
      <w:r>
        <w:t xml:space="preserve">% к </w:t>
      </w:r>
      <w:bookmarkStart w:id="0" w:name="_GoBack"/>
      <w:bookmarkEnd w:id="0"/>
      <w:r>
        <w:t xml:space="preserve"> 2021 г.</w:t>
      </w:r>
    </w:p>
    <w:p w:rsidR="00B77AC6" w:rsidRDefault="00B77AC6" w:rsidP="00B77AC6"/>
    <w:p w:rsidR="00EA3953" w:rsidRDefault="00EA3953"/>
    <w:sectPr w:rsidR="00EA3953" w:rsidSect="00BA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C6"/>
    <w:rsid w:val="00040667"/>
    <w:rsid w:val="00075772"/>
    <w:rsid w:val="00076402"/>
    <w:rsid w:val="000A7F99"/>
    <w:rsid w:val="001562DB"/>
    <w:rsid w:val="001643F5"/>
    <w:rsid w:val="002428F1"/>
    <w:rsid w:val="002A4618"/>
    <w:rsid w:val="002E303D"/>
    <w:rsid w:val="002F4FFF"/>
    <w:rsid w:val="00331777"/>
    <w:rsid w:val="00331970"/>
    <w:rsid w:val="0034608F"/>
    <w:rsid w:val="00361B3D"/>
    <w:rsid w:val="0037455E"/>
    <w:rsid w:val="003852A4"/>
    <w:rsid w:val="003E1554"/>
    <w:rsid w:val="00401858"/>
    <w:rsid w:val="004135AF"/>
    <w:rsid w:val="0043088C"/>
    <w:rsid w:val="005010B1"/>
    <w:rsid w:val="00512F8E"/>
    <w:rsid w:val="00517EA8"/>
    <w:rsid w:val="00524156"/>
    <w:rsid w:val="00637913"/>
    <w:rsid w:val="00713A68"/>
    <w:rsid w:val="00775135"/>
    <w:rsid w:val="00786079"/>
    <w:rsid w:val="007955D2"/>
    <w:rsid w:val="007A033B"/>
    <w:rsid w:val="007B2A70"/>
    <w:rsid w:val="007F560B"/>
    <w:rsid w:val="007F6CFC"/>
    <w:rsid w:val="00810090"/>
    <w:rsid w:val="00811E41"/>
    <w:rsid w:val="00817107"/>
    <w:rsid w:val="008514AE"/>
    <w:rsid w:val="00890F0F"/>
    <w:rsid w:val="008F0184"/>
    <w:rsid w:val="00917CCF"/>
    <w:rsid w:val="009320D3"/>
    <w:rsid w:val="009F6DAC"/>
    <w:rsid w:val="00A579C9"/>
    <w:rsid w:val="00B71223"/>
    <w:rsid w:val="00B77AC6"/>
    <w:rsid w:val="00B80639"/>
    <w:rsid w:val="00BA4496"/>
    <w:rsid w:val="00BB0398"/>
    <w:rsid w:val="00C41D1C"/>
    <w:rsid w:val="00C510F4"/>
    <w:rsid w:val="00CB49EB"/>
    <w:rsid w:val="00D1051C"/>
    <w:rsid w:val="00D355C3"/>
    <w:rsid w:val="00D64FC6"/>
    <w:rsid w:val="00D75A0D"/>
    <w:rsid w:val="00D77D42"/>
    <w:rsid w:val="00D95E37"/>
    <w:rsid w:val="00E424DC"/>
    <w:rsid w:val="00E5049A"/>
    <w:rsid w:val="00EA3953"/>
    <w:rsid w:val="00F2134E"/>
    <w:rsid w:val="00F53470"/>
    <w:rsid w:val="00F6511D"/>
    <w:rsid w:val="00F83310"/>
    <w:rsid w:val="00F9708C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Верхний колонтитул Знак Знак"/>
    <w:basedOn w:val="a"/>
    <w:link w:val="1"/>
    <w:rsid w:val="00B77A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uiPriority w:val="99"/>
    <w:semiHidden/>
    <w:rsid w:val="00B77A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aliases w:val="ВерхКолонтитул Знак,Верхний колонтитул Знак Знак Знак"/>
    <w:link w:val="a3"/>
    <w:rsid w:val="00B77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0"/>
    <w:rsid w:val="00B77A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uiPriority w:val="99"/>
    <w:semiHidden/>
    <w:rsid w:val="00B77A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link w:val="a5"/>
    <w:rsid w:val="00B77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77AC6"/>
    <w:pPr>
      <w:spacing w:before="120" w:line="360" w:lineRule="exact"/>
      <w:ind w:firstLine="720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rsid w:val="00B77AC6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note text"/>
    <w:basedOn w:val="a"/>
    <w:link w:val="a8"/>
    <w:rsid w:val="00B77AC6"/>
    <w:pPr>
      <w:widowControl w:val="0"/>
      <w:jc w:val="both"/>
    </w:pPr>
  </w:style>
  <w:style w:type="character" w:customStyle="1" w:styleId="a8">
    <w:name w:val="Текст сноски Знак"/>
    <w:basedOn w:val="a0"/>
    <w:link w:val="a7"/>
    <w:rsid w:val="00B77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">
    <w:name w:val="xl40"/>
    <w:basedOn w:val="a"/>
    <w:rsid w:val="00B77AC6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12">
    <w:name w:val="Обычный12"/>
    <w:uiPriority w:val="99"/>
    <w:rsid w:val="00B77A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45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455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Верхний колонтитул Знак Знак"/>
    <w:basedOn w:val="a"/>
    <w:link w:val="1"/>
    <w:rsid w:val="00B77A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uiPriority w:val="99"/>
    <w:semiHidden/>
    <w:rsid w:val="00B77A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aliases w:val="ВерхКолонтитул Знак,Верхний колонтитул Знак Знак Знак"/>
    <w:link w:val="a3"/>
    <w:rsid w:val="00B77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0"/>
    <w:rsid w:val="00B77A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uiPriority w:val="99"/>
    <w:semiHidden/>
    <w:rsid w:val="00B77A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link w:val="a5"/>
    <w:rsid w:val="00B77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77AC6"/>
    <w:pPr>
      <w:spacing w:before="120" w:line="360" w:lineRule="exact"/>
      <w:ind w:firstLine="720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rsid w:val="00B77AC6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note text"/>
    <w:basedOn w:val="a"/>
    <w:link w:val="a8"/>
    <w:rsid w:val="00B77AC6"/>
    <w:pPr>
      <w:widowControl w:val="0"/>
      <w:jc w:val="both"/>
    </w:pPr>
  </w:style>
  <w:style w:type="character" w:customStyle="1" w:styleId="a8">
    <w:name w:val="Текст сноски Знак"/>
    <w:basedOn w:val="a0"/>
    <w:link w:val="a7"/>
    <w:rsid w:val="00B77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">
    <w:name w:val="xl40"/>
    <w:basedOn w:val="a"/>
    <w:rsid w:val="00B77AC6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12">
    <w:name w:val="Обычный12"/>
    <w:uiPriority w:val="99"/>
    <w:rsid w:val="00B77A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45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45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piataikina</dc:creator>
  <cp:lastModifiedBy>Панфилова Елена Геннадьевна</cp:lastModifiedBy>
  <cp:revision>3</cp:revision>
  <cp:lastPrinted>2022-09-22T08:38:00Z</cp:lastPrinted>
  <dcterms:created xsi:type="dcterms:W3CDTF">2023-03-10T12:05:00Z</dcterms:created>
  <dcterms:modified xsi:type="dcterms:W3CDTF">2023-03-10T12:09:00Z</dcterms:modified>
</cp:coreProperties>
</file>